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ind w:left="0" w:leftChars="0" w:right="0" w:rightChars="0"/>
        <w:jc w:val="center"/>
        <w:textAlignment w:val="auto"/>
        <w:rPr>
          <w:rFonts w:hint="eastAsia" w:ascii="黑体" w:eastAsia="黑体"/>
          <w:b/>
          <w:spacing w:val="80"/>
          <w:sz w:val="84"/>
          <w:szCs w:val="84"/>
        </w:rPr>
      </w:pPr>
      <w:r>
        <w:rPr>
          <w:rFonts w:hint="eastAsia" w:ascii="黑体" w:eastAsia="黑体"/>
          <w:b/>
          <w:color w:val="FF0000"/>
          <w:spacing w:val="80"/>
          <w:sz w:val="84"/>
          <w:szCs w:val="84"/>
        </w:rPr>
        <w:t>平罗检察理论调研</w:t>
      </w:r>
    </w:p>
    <w:p>
      <w:pPr>
        <w:keepNext w:val="0"/>
        <w:keepLines w:val="0"/>
        <w:pageBreakBefore w:val="0"/>
        <w:widowControl w:val="0"/>
        <w:kinsoku/>
        <w:wordWrap/>
        <w:overflowPunct/>
        <w:topLinePunct w:val="0"/>
        <w:bidi w:val="0"/>
        <w:snapToGrid/>
        <w:ind w:left="0" w:leftChars="0" w:right="0" w:rightChars="0"/>
        <w:jc w:val="center"/>
        <w:textAlignment w:val="auto"/>
        <w:rPr>
          <w:rFonts w:hint="eastAsia" w:ascii="楷体_GB2312" w:eastAsia="楷体_GB2312"/>
          <w:b/>
          <w:spacing w:val="-2"/>
          <w:sz w:val="32"/>
          <w:szCs w:val="32"/>
        </w:rPr>
      </w:pPr>
      <w:r>
        <w:rPr>
          <w:rFonts w:hint="eastAsia" w:ascii="黑体" w:hAnsi="宋体" w:eastAsia="黑体"/>
          <w:b/>
          <w:color w:val="FF0000"/>
          <w:sz w:val="32"/>
          <w:szCs w:val="32"/>
        </w:rPr>
        <w:t>第</w:t>
      </w:r>
      <w:r>
        <w:rPr>
          <w:rFonts w:hint="eastAsia" w:ascii="黑体" w:hAnsi="宋体" w:eastAsia="黑体"/>
          <w:b/>
          <w:color w:val="FF0000"/>
          <w:sz w:val="32"/>
          <w:szCs w:val="32"/>
          <w:lang w:val="en-US" w:eastAsia="zh-CN"/>
        </w:rPr>
        <w:t>6</w:t>
      </w:r>
      <w:r>
        <w:rPr>
          <w:rFonts w:hint="eastAsia" w:ascii="黑体" w:hAnsi="宋体" w:eastAsia="黑体"/>
          <w:b/>
          <w:color w:val="FF0000"/>
          <w:sz w:val="32"/>
          <w:szCs w:val="32"/>
        </w:rPr>
        <w:t>期</w:t>
      </w:r>
    </w:p>
    <w:p>
      <w:pPr>
        <w:keepNext w:val="0"/>
        <w:keepLines w:val="0"/>
        <w:pageBreakBefore w:val="0"/>
        <w:widowControl w:val="0"/>
        <w:kinsoku/>
        <w:wordWrap/>
        <w:overflowPunct/>
        <w:topLinePunct w:val="0"/>
        <w:bidi w:val="0"/>
        <w:snapToGrid/>
        <w:ind w:left="0" w:leftChars="0" w:right="0" w:rightChars="0"/>
        <w:textAlignment w:val="auto"/>
        <w:rPr>
          <w:rFonts w:hint="eastAsia" w:ascii="仿宋_GB2312" w:hAnsi="宋体" w:eastAsia="仿宋_GB2312"/>
          <w:spacing w:val="-2"/>
          <w:sz w:val="32"/>
          <w:szCs w:val="32"/>
          <w:u w:val="single"/>
        </w:rPr>
      </w:pPr>
      <w:r>
        <w:rPr>
          <w:rFonts w:hint="eastAsia" w:ascii="仿宋_GB2312" w:hAnsi="宋体" w:eastAsia="仿宋_GB2312"/>
          <w:spacing w:val="-2"/>
          <w:sz w:val="32"/>
          <w:szCs w:val="32"/>
          <w:u w:val="single"/>
        </w:rPr>
        <w:t xml:space="preserve">平罗县人民检察院编                  </w:t>
      </w:r>
      <w:r>
        <w:rPr>
          <w:rFonts w:eastAsia="仿宋_GB2312"/>
          <w:spacing w:val="-2"/>
          <w:sz w:val="32"/>
          <w:szCs w:val="32"/>
          <w:u w:val="single"/>
        </w:rPr>
        <w:t>20</w:t>
      </w:r>
      <w:r>
        <w:rPr>
          <w:rFonts w:hint="eastAsia" w:eastAsia="仿宋_GB2312"/>
          <w:spacing w:val="-2"/>
          <w:sz w:val="32"/>
          <w:szCs w:val="32"/>
          <w:u w:val="single"/>
          <w:lang w:val="en-US" w:eastAsia="zh-CN"/>
        </w:rPr>
        <w:t>20</w:t>
      </w:r>
      <w:r>
        <w:rPr>
          <w:rFonts w:eastAsia="仿宋_GB2312"/>
          <w:spacing w:val="-2"/>
          <w:sz w:val="32"/>
          <w:szCs w:val="32"/>
          <w:u w:val="single"/>
        </w:rPr>
        <w:t>年</w:t>
      </w:r>
      <w:r>
        <w:rPr>
          <w:rFonts w:hint="eastAsia" w:eastAsia="仿宋_GB2312"/>
          <w:spacing w:val="-2"/>
          <w:sz w:val="32"/>
          <w:szCs w:val="32"/>
          <w:u w:val="single"/>
          <w:lang w:val="en-US" w:eastAsia="zh-CN"/>
        </w:rPr>
        <w:t>5</w:t>
      </w:r>
      <w:r>
        <w:rPr>
          <w:rFonts w:eastAsia="仿宋_GB2312"/>
          <w:spacing w:val="-2"/>
          <w:sz w:val="32"/>
          <w:szCs w:val="32"/>
          <w:u w:val="single"/>
        </w:rPr>
        <w:t>月</w:t>
      </w:r>
      <w:r>
        <w:rPr>
          <w:rFonts w:hint="eastAsia" w:eastAsia="仿宋_GB2312"/>
          <w:spacing w:val="-2"/>
          <w:sz w:val="32"/>
          <w:szCs w:val="32"/>
          <w:u w:val="single"/>
          <w:lang w:val="en-US" w:eastAsia="zh-CN"/>
        </w:rPr>
        <w:t>27</w:t>
      </w:r>
      <w:r>
        <w:rPr>
          <w:rFonts w:hint="eastAsia" w:eastAsia="仿宋_GB2312"/>
          <w:spacing w:val="-2"/>
          <w:sz w:val="32"/>
          <w:szCs w:val="32"/>
          <w:u w:val="single"/>
        </w:rPr>
        <w:t xml:space="preserve">日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9"/>
        <w:rPr>
          <w:rFonts w:hint="eastAsia" w:ascii="方正小标宋_GBK" w:hAnsi="方正小标宋_GBK" w:eastAsia="方正小标宋_GBK" w:cs="方正小标宋_GBK"/>
          <w:b w:val="0"/>
          <w:bCs w:val="0"/>
          <w:sz w:val="42"/>
          <w:szCs w:val="42"/>
          <w:lang w:eastAsia="zh-CN"/>
        </w:rPr>
      </w:pPr>
      <w:r>
        <w:rPr>
          <w:rFonts w:hint="eastAsia" w:ascii="方正小标宋_GBK" w:hAnsi="方正小标宋_GBK" w:eastAsia="方正小标宋_GBK" w:cs="方正小标宋_GBK"/>
          <w:sz w:val="42"/>
          <w:szCs w:val="42"/>
        </w:rPr>
        <w:t>新型支付方式下盗窃罪与诈骗罪的界限研究</w:t>
      </w:r>
    </w:p>
    <w:p>
      <w:pPr>
        <w:keepNext w:val="0"/>
        <w:keepLines w:val="0"/>
        <w:pageBreakBefore w:val="0"/>
        <w:widowControl w:val="0"/>
        <w:kinsoku/>
        <w:wordWrap/>
        <w:overflowPunct/>
        <w:topLinePunct w:val="0"/>
        <w:autoSpaceDE/>
        <w:autoSpaceDN/>
        <w:bidi w:val="0"/>
        <w:adjustRightInd/>
        <w:snapToGrid/>
        <w:spacing w:before="156" w:after="156" w:line="900" w:lineRule="exact"/>
        <w:ind w:left="0" w:leftChars="0" w:right="0" w:rightChars="0"/>
        <w:jc w:val="center"/>
        <w:textAlignment w:val="auto"/>
        <w:outlineLvl w:val="9"/>
        <w:rPr>
          <w:rFonts w:hint="eastAsia" w:ascii="楷体" w:hAnsi="楷体" w:eastAsia="楷体" w:cs="楷体"/>
          <w:sz w:val="15"/>
          <w:szCs w:val="15"/>
          <w:lang w:val="en-US" w:eastAsia="zh-CN"/>
        </w:rPr>
      </w:pPr>
      <w:r>
        <w:rPr>
          <w:rFonts w:hint="eastAsia" w:ascii="楷体_GB2312" w:hAnsi="楷体_GB2312" w:eastAsia="楷体_GB2312" w:cs="楷体_GB2312"/>
          <w:color w:val="000000"/>
          <w:kern w:val="0"/>
          <w:sz w:val="32"/>
          <w:szCs w:val="32"/>
          <w:lang w:val="en-US" w:eastAsia="zh-CN" w:bidi="ar"/>
        </w:rPr>
        <w:t>平罗县人民检察院   骆亮</w:t>
      </w:r>
      <w:r>
        <w:rPr>
          <w:rStyle w:val="7"/>
          <w:rFonts w:hint="eastAsia" w:ascii="仿宋_GB2312" w:hAnsi="宋体" w:eastAsia="仿宋_GB2312"/>
          <w:sz w:val="32"/>
          <w:szCs w:val="32"/>
        </w:rPr>
        <w:footnoteReference w:id="0" w:customMarkFollows="1"/>
        <w:sym w:font="Symbol" w:char="002A"/>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随着移动网络设施建设的完善、移动终端设备的普及、人们对便捷的生活方式的追求以及社会经济活动日趋活跃，社会经济交易逐渐告别传统的现金交易、银行转账、支票汇票等货币支付方式，新型支付方式蓬勃发展。因为众多新型支付方式的兴起，司法机关在办理财产类犯罪时，出现了很多新型、疑难或者在平和情况下的侵犯公民财产权的案件，产生了是盗窃罪还是诈骗罪具有巨大分歧的案件。故本文就在新型支付方式下，以小案例方式以及罪名构成要件的角度对行为构成诈骗罪还是盗窃罪的区分进行解析和甄别。</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新型支付方式，指行为人在交易、转账等经济社会生活中使用手机银行、微信支付宝手机端进行交易的行为，以及在虚拟网络空间内用虚拟网络的道具、货币进行交易的行为。</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盗窃罪，根据《中华人民共和国刑法》第二百六十四条的规定，是指以非法占有为目的盗窃公私财物数额较大或者多次盗窃、入户盗窃、携带凶器盗窃、扒窃公私财物的行为，本罪是最古老的侵犯财产犯罪，几乎与私有制的历史一样久远，其行为对象为可控并具有经济性的物。诈骗罪是指以非法占有为目的，用虚构事实或者隐瞒真相的方法，骗取数额较大的公私财物的行为，几乎与物物交换行为同时产生。</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盗窃罪与诈骗罪行为上的最大共同点为平和情况下对被害人财产的取得，而非像抢夺、抢劫行为具有暴力性质，二者间被害人主观区别即是否是基于“处分”之意思表示而转移财物。根据民法理论，“处分”行为包括主观上对处分原因的正确认识以及处分意志的真实性；行为上要基于正确认识以及处分意志而事实处分行为。如果行为人在平和情况下取得权利人非基于处分意志的财物，则构成诈骗行为。新型支付方式是即权利人对财物行使处分权的行为，即需要权利人完整的处分认识、处分意志、处分行为缺一不可。所以重点把握权利人对财产处分行为的真实性，则可以区分在新型支付方式的处分行为是盗窃行为还是诈骗行为。下面就以若干典型案例进行说明。</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案例一：</w:t>
      </w:r>
      <w:r>
        <w:rPr>
          <w:rFonts w:hint="eastAsia" w:ascii="仿宋_GB2312" w:hAnsi="仿宋_GB2312" w:eastAsia="仿宋_GB2312" w:cs="仿宋_GB2312"/>
          <w:sz w:val="32"/>
          <w:szCs w:val="32"/>
        </w:rPr>
        <w:t>AB二人为好友，B与A同住，因偶然间知道A的微信支付密码，趁二人同住期间打开A的手机给自己转账大额资金。这种行为虽然在支付软件辨认中属于使用能证明A身份的密码进行财物处分，但实际上A并无处分认识、处分意志和处分行为。故而B的行为属于盗窃行为。若B 告知A，自己需要登录A的游戏账号，帮其售卖部分网络虚拟财物（如游戏账号、游戏道具等），但其实际售卖虚拟财物后还将剩余的虚拟财物转移到自己的账号中，这种行为远远超过了A的意思表示，对于转移到B账号的行为，并非基于A的对事实的错误认识和判断，也未经过A主观上的处分意思表示，属于在A不知情的情况下进行的，故B的行为是属于盗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案例二：</w:t>
      </w:r>
      <w:r>
        <w:rPr>
          <w:rFonts w:hint="eastAsia" w:ascii="仿宋_GB2312" w:hAnsi="仿宋_GB2312" w:eastAsia="仿宋_GB2312" w:cs="仿宋_GB2312"/>
          <w:sz w:val="32"/>
          <w:szCs w:val="32"/>
        </w:rPr>
        <w:t>B在共享单车的付款二维码上贴上自己的二维码并设置默认收款金额，A等多人在使用共享单车时扫码支付时向B的账户进行转账。在此行为中，B是使得A等多人误认为扫码支付的对象是共享单车的商家，但实际上却是B将支付对象进行了替换，使A等多人陷入错误认识，基于错误认识而处分自己的财物，B的行为构成诈骗。若B通过诱使A等多人使用微信、支付宝扫码，将有病毒或者劫持支付功能的软件植入到A等多人的手机上，利用软件操作将A等多人的手机银行、支付宝、微信等支付软件将金额转走或者进行特定交易将金额转出，虽然虚构了“扫码安全” 实际“扫码不安全”的事实，但并不是基于此行为使得A等多人实施处分行为，其实就是，则是属于在A等多人不知情的情况秘密将财物转走，虽然财物还是在支付宝、微信、各银行的控制之下，但是A等多人已经失去了对支付宝、微信、各银行的债权，将债权人变更为B，A等多人实际上已经对原本的财物失去了控制，故构成诈骗罪。</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案例三：</w:t>
      </w:r>
      <w:r>
        <w:rPr>
          <w:rFonts w:hint="eastAsia" w:ascii="仿宋_GB2312" w:hAnsi="仿宋_GB2312" w:eastAsia="仿宋_GB2312" w:cs="仿宋_GB2312"/>
          <w:sz w:val="32"/>
          <w:szCs w:val="32"/>
        </w:rPr>
        <w:t>年迈的A到银行使用ATM机进行转账（或储蓄），操作ATM机生疏，B假扮为银行工作人员帮助A进行正常操作，将现金放入ATM机的入款槽后，入款槽合住后，B没有进一步操作，告诉A已经钱放入银行账户，转账（储蓄）流程已完成。A遂离去，B在A走后操作ATM机，将现金槽打开，取走现金槽里的资金。A的欠款没有进入银行账户。B的行为虽然是在欺骗A，使A陷入错误的事实认识，B基于A基于错误认识趁机将A的欠款据为己有，但B的欺骗行为并非是使A将财物处分给B，而是将钱放置在银行、A、B三方都没有进行控制的情况下，而A认为钱已经置于银行的控制下，自己已经取得了银行对自己的债权（或已经使他人即转账对方取得了银行的债权），而非是将钱处分给了B个人，B所假扮的银行工作人员在A的认识中并无独立人格及独立行为，其人格及行为已经被银行所吸收，其行为代表的是银行的行为，故A也不可能有将钱款交付给B的事实认识、行为意志以及行为。所以B的行为并不构成诈骗。B的欺骗行为使得A将财物置于无人控制的情况，然后取走A 的财物，如果行为人获取财物时起决定性作用的手段是秘密窃取，诈骗行为只是为盗窃创造条件或作掩护，被害人也没有“自愿”交付财物的，就应当认定B的行为为盗窃。如果在本例中，B虚构自己是银行工作人员的事实，而在帮助A转账（存钱）的过程中，将财物转移到自己控制下的账户中，而没有将存入A要存入的账户中，即虚构了自己是银行工作人员事实、隐瞒了其将钱款存入账户的事实，基于A的认识错误进行了处分财物的行为，则构成诈骗罪。</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在新型支付方式之下，在诈骗罪与盗窃罪之间出现分歧之时，判断二者之间的主要区别即是否是基于被害人陷入错误的事实认识而“自愿”而处分财物则应定位诈骗罪；如不是基于自愿的而取得当事人财物，即应以盗窃罪进行处理。</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autoSpaceDE w:val="0"/>
        <w:autoSpaceDN w:val="0"/>
        <w:adjustRightInd w:val="0"/>
        <w:spacing w:line="400" w:lineRule="exact"/>
        <w:jc w:val="left"/>
        <w:rPr>
          <w:rFonts w:hint="eastAsia" w:ascii="宋体" w:hAnsi="宋体" w:eastAsia="宋体" w:cs="宋体"/>
        </w:rPr>
      </w:pPr>
      <w:bookmarkStart w:id="0" w:name="_GoBack"/>
      <w:r>
        <w:rPr>
          <w:rStyle w:val="7"/>
          <w:rFonts w:hint="eastAsia" w:ascii="宋体" w:hAnsi="宋体" w:eastAsia="宋体" w:cs="宋体"/>
        </w:rPr>
        <w:sym w:font="Symbol" w:char="F02A"/>
      </w:r>
      <w:r>
        <w:rPr>
          <w:rFonts w:hint="eastAsia" w:ascii="宋体" w:hAnsi="宋体" w:eastAsia="宋体" w:cs="宋体"/>
        </w:rPr>
        <w:t xml:space="preserve"> 平罗县人民检察院</w:t>
      </w:r>
      <w:r>
        <w:rPr>
          <w:rFonts w:hint="eastAsia" w:ascii="宋体" w:hAnsi="宋体" w:eastAsia="宋体" w:cs="宋体"/>
          <w:lang w:val="en-US" w:eastAsia="zh-CN"/>
        </w:rPr>
        <w:t xml:space="preserve"> 第四检察部</w:t>
      </w:r>
    </w:p>
    <w:bookmarkEnd w:id="0"/>
    <w:p>
      <w:pPr>
        <w:rPr>
          <w:rFonts w:hint="eastAsia" w:ascii="宋体" w:hAnsi="宋体"/>
          <w:sz w:val="18"/>
          <w:szCs w:val="18"/>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773B"/>
    <w:rsid w:val="00040BFD"/>
    <w:rsid w:val="00275718"/>
    <w:rsid w:val="00323B43"/>
    <w:rsid w:val="003D37D8"/>
    <w:rsid w:val="00426133"/>
    <w:rsid w:val="004358AB"/>
    <w:rsid w:val="005021F0"/>
    <w:rsid w:val="00575731"/>
    <w:rsid w:val="00592FBC"/>
    <w:rsid w:val="005A3B44"/>
    <w:rsid w:val="005A5430"/>
    <w:rsid w:val="00601941"/>
    <w:rsid w:val="00634731"/>
    <w:rsid w:val="006461B7"/>
    <w:rsid w:val="00672FBA"/>
    <w:rsid w:val="00687E58"/>
    <w:rsid w:val="007A0AF9"/>
    <w:rsid w:val="008253FD"/>
    <w:rsid w:val="008A5769"/>
    <w:rsid w:val="008B7726"/>
    <w:rsid w:val="009C10F4"/>
    <w:rsid w:val="009F23D2"/>
    <w:rsid w:val="00A02DFC"/>
    <w:rsid w:val="00A71D4B"/>
    <w:rsid w:val="00B671F3"/>
    <w:rsid w:val="00C91763"/>
    <w:rsid w:val="00D31D50"/>
    <w:rsid w:val="00F31254"/>
    <w:rsid w:val="00F31653"/>
    <w:rsid w:val="00F96112"/>
    <w:rsid w:val="0C3830FA"/>
    <w:rsid w:val="1A606E55"/>
    <w:rsid w:val="2404418F"/>
    <w:rsid w:val="31860E02"/>
    <w:rsid w:val="323D374B"/>
    <w:rsid w:val="4C6E2628"/>
    <w:rsid w:val="5ED43C0B"/>
    <w:rsid w:val="751C4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link w:val="6"/>
    <w:semiHidden/>
    <w:unhideWhenUsed/>
    <w:uiPriority w:val="1"/>
    <w:rPr>
      <w:rFonts w:ascii="Times New Roman" w:hAnsi="Times New Roman" w:eastAsia="仿宋_GB2312" w:cs="Times New Roman"/>
      <w:sz w:val="32"/>
      <w:szCs w:val="20"/>
    </w:rPr>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 Text First Indent 21"/>
    <w:basedOn w:val="3"/>
    <w:qFormat/>
    <w:uiPriority w:val="0"/>
    <w:pPr>
      <w:ind w:left="200" w:firstLine="420" w:firstLineChars="200"/>
    </w:pPr>
    <w:rPr>
      <w:rFonts w:eastAsia="仿宋"/>
      <w:szCs w:val="32"/>
    </w:rPr>
  </w:style>
  <w:style w:type="paragraph" w:customStyle="1" w:styleId="3">
    <w:name w:val="Body Text Indent1"/>
    <w:basedOn w:val="1"/>
    <w:qFormat/>
    <w:uiPriority w:val="0"/>
    <w:pPr>
      <w:spacing w:after="120" w:afterLines="0"/>
      <w:ind w:left="420" w:leftChars="200"/>
    </w:pPr>
  </w:style>
  <w:style w:type="paragraph" w:styleId="4">
    <w:name w:val="Balloon Text"/>
    <w:basedOn w:val="1"/>
    <w:link w:val="9"/>
    <w:semiHidden/>
    <w:unhideWhenUsed/>
    <w:uiPriority w:val="99"/>
    <w:pPr>
      <w:spacing w:after="0"/>
    </w:pPr>
    <w:rPr>
      <w:sz w:val="18"/>
      <w:szCs w:val="18"/>
    </w:rPr>
  </w:style>
  <w:style w:type="paragraph" w:customStyle="1" w:styleId="6">
    <w:name w:val="Char Char Char1 Char Char Char"/>
    <w:basedOn w:val="1"/>
    <w:link w:val="5"/>
    <w:qFormat/>
    <w:uiPriority w:val="0"/>
    <w:rPr>
      <w:rFonts w:ascii="Times New Roman" w:hAnsi="Times New Roman" w:eastAsia="仿宋_GB2312" w:cs="Times New Roman"/>
      <w:sz w:val="32"/>
      <w:szCs w:val="20"/>
    </w:rPr>
  </w:style>
  <w:style w:type="character" w:styleId="7">
    <w:name w:val="footnote reference"/>
    <w:basedOn w:val="5"/>
    <w:semiHidden/>
    <w:uiPriority w:val="0"/>
    <w:rPr>
      <w:vertAlign w:val="superscript"/>
    </w:rPr>
  </w:style>
  <w:style w:type="character" w:customStyle="1" w:styleId="9">
    <w:name w:val="批注框文本 Char"/>
    <w:basedOn w:val="5"/>
    <w:link w:val="4"/>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340</Words>
  <Characters>1942</Characters>
  <Lines>16</Lines>
  <Paragraphs>4</Paragraphs>
  <TotalTime>4</TotalTime>
  <ScaleCrop>false</ScaleCrop>
  <LinksUpToDate>false</LinksUpToDate>
  <CharactersWithSpaces>2278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曹文娜</cp:lastModifiedBy>
  <dcterms:modified xsi:type="dcterms:W3CDTF">2020-05-27T02:18:16Z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