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bookmarkStart w:id="0" w:name="ajmc"/>
      <w:r>
        <w:rPr>
          <w:rFonts w:ascii="黑体" w:hAnsi="宋体" w:eastAsia="黑体" w:cs="黑体"/>
          <w:b/>
          <w:bCs/>
          <w:i w:val="0"/>
          <w:iCs w:val="0"/>
          <w:caps w:val="0"/>
          <w:color w:val="FF0000"/>
          <w:spacing w:val="80"/>
          <w:sz w:val="84"/>
          <w:szCs w:val="84"/>
          <w:shd w:val="clear" w:color="auto" w:fill="FFFFFF"/>
        </w:rPr>
        <w:t>平罗检察理论调研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u w:val="single"/>
          <w:shd w:val="clear" w:color="auto" w:fill="FFFFFF"/>
        </w:rPr>
        <w:t>平罗县人民检察院编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u w:val="single"/>
          <w:shd w:val="clear" w:color="auto" w:fill="FFFFFF"/>
        </w:rPr>
        <w:t>                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u w:val="single"/>
          <w:shd w:val="clear" w:color="auto" w:fill="FFFFFF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  <w:t>平罗县人民检察院督促整治辖区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  <w:t>违法取用地下水</w:t>
      </w:r>
      <w:bookmarkEnd w:id="0"/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  <w:t>行政公益诉讼案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杨学松</w:t>
      </w:r>
      <w:r>
        <w:rPr>
          <w:rStyle w:val="10"/>
          <w:rFonts w:hint="eastAsia" w:ascii="黑体" w:hAnsi="宋体" w:eastAsia="黑体" w:cs="黑体"/>
          <w:sz w:val="32"/>
          <w:szCs w:val="32"/>
          <w:lang w:val="en-US" w:eastAsia="zh-CN"/>
        </w:rPr>
        <w:footnoteReference w:id="0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【关键词】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行政公益诉讼  黄河流域自备井  违规取水整治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【要旨】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针对辖区普遍存在未经许可擅自掘井取用地下水问题，检察机关充分发挥公益诉讼检察职能，督促行政机关依法履职，贯彻落实水资源“有偿使用”制，推动辖区地下取水井科学化、规范化。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【基本案情】</w:t>
      </w:r>
    </w:p>
    <w:p>
      <w:pPr>
        <w:pStyle w:val="7"/>
        <w:widowControl/>
        <w:spacing w:before="0" w:beforeAutospacing="0" w:after="0" w:afterAutospacing="0" w:line="560" w:lineRule="exact"/>
        <w:ind w:left="0" w:leftChars="0" w:right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黄河平罗段全长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63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公里（左岸河岸线长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43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公里、右岸河岸线长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63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公里），流经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个乡镇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个行政村，涉及人口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万人。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黄河平罗段流域灌溉面积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万亩，用水总量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5.93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亿立方米左右。平罗县</w:t>
      </w:r>
      <w:r>
        <w:rPr>
          <w:rFonts w:hint="eastAsia" w:ascii="Calibri" w:eastAsia="仿宋_GB2312" w:cs="仿宋_GB2312"/>
          <w:color w:val="000000"/>
          <w:sz w:val="32"/>
          <w:szCs w:val="32"/>
          <w:lang w:eastAsia="zh-CN"/>
        </w:rPr>
        <w:t>高仁乡、陶乐镇、红崖子乡等</w:t>
      </w:r>
      <w:r>
        <w:rPr>
          <w:rFonts w:eastAsia="仿宋_GB2312"/>
          <w:color w:val="000000"/>
          <w:sz w:val="32"/>
          <w:szCs w:val="32"/>
          <w:lang w:val="en-US"/>
        </w:rPr>
        <w:t>13</w:t>
      </w:r>
      <w:r>
        <w:rPr>
          <w:rFonts w:hint="eastAsia" w:ascii="Calibri" w:eastAsia="仿宋_GB2312" w:cs="仿宋_GB2312"/>
          <w:color w:val="000000"/>
          <w:sz w:val="32"/>
          <w:szCs w:val="32"/>
          <w:lang w:eastAsia="zh-CN"/>
        </w:rPr>
        <w:t>个乡（镇）和农牧场、林场等</w:t>
      </w:r>
      <w:r>
        <w:rPr>
          <w:rFonts w:eastAsia="仿宋_GB2312"/>
          <w:color w:val="000000"/>
          <w:sz w:val="32"/>
          <w:szCs w:val="32"/>
          <w:lang w:val="en-US"/>
        </w:rPr>
        <w:t>4</w:t>
      </w:r>
      <w:r>
        <w:rPr>
          <w:rFonts w:hint="eastAsia" w:ascii="Calibri" w:eastAsia="仿宋_GB2312" w:cs="仿宋_GB2312"/>
          <w:color w:val="000000"/>
          <w:sz w:val="32"/>
          <w:szCs w:val="32"/>
          <w:lang w:eastAsia="zh-CN"/>
        </w:rPr>
        <w:t>家单位</w:t>
      </w:r>
      <w:r>
        <w:rPr>
          <w:rFonts w:eastAsia="仿宋_GB2312"/>
          <w:color w:val="000000"/>
          <w:sz w:val="32"/>
          <w:szCs w:val="32"/>
          <w:lang w:val="en-US"/>
        </w:rPr>
        <w:t>2125</w:t>
      </w:r>
      <w:r>
        <w:rPr>
          <w:rFonts w:hint="eastAsia" w:ascii="Calibri" w:eastAsia="仿宋_GB2312" w:cs="仿宋_GB2312"/>
          <w:color w:val="000000"/>
          <w:sz w:val="32"/>
          <w:szCs w:val="32"/>
          <w:lang w:eastAsia="zh-CN"/>
        </w:rPr>
        <w:t>眼自备井存在违规取水问题。相关行政机关未依法全面履行监管职责，辖区超许可用水问题长期存在，损害了国家利益和社会公共利益。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【</w:t>
      </w:r>
      <w:r>
        <w:rPr>
          <w:rFonts w:hint="eastAsia" w:ascii="Calibri" w:hAnsi="Calibri" w:eastAsia="黑体" w:cs="黑体"/>
          <w:kern w:val="2"/>
          <w:sz w:val="32"/>
          <w:szCs w:val="24"/>
          <w:lang w:val="en-US" w:eastAsia="zh-CN" w:bidi="ar"/>
        </w:rPr>
        <w:t>调查和督促履职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Calibri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月，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宁夏回族自治区石嘴山市平罗县人民检察院（以下简称平罗县检察院）在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开展黄河干流宁夏段取水工程专项整治行动中发现该线索，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经办案组实地走访、初步审查后于</w:t>
      </w:r>
      <w:bookmarkStart w:id="1" w:name="larq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2021年9月30日</w:t>
      </w:r>
      <w:bookmarkEnd w:id="1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立案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平罗县院通过调阅档案、现场勘验、询问相关当事人等调查工作查明：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平罗县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高仁乡、陶乐镇、红崖子乡等</w:t>
      </w:r>
      <w:r>
        <w:rPr>
          <w:rFonts w:hint="default" w:ascii="Calibri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13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个乡（镇）和农牧场、林场等</w:t>
      </w:r>
      <w:r>
        <w:rPr>
          <w:rFonts w:hint="default" w:ascii="Calibri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家单位共有地下取水井</w:t>
      </w:r>
      <w:r>
        <w:rPr>
          <w:rFonts w:hint="default" w:ascii="Calibri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2125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眼，其中有</w:t>
      </w:r>
      <w:r>
        <w:rPr>
          <w:rFonts w:hint="default" w:ascii="Calibri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1653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眼常用地下取水井未办理取水许可手续，有</w:t>
      </w:r>
      <w:r>
        <w:rPr>
          <w:rFonts w:hint="default" w:ascii="Calibri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1277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眼地下取水井未安装计量设施，取用水地下水不受监控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。平罗县水务局、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高仁乡、陶乐镇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个行政机关未依法履行监管职责，造成国家利益和社会公共利益受损。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日，平罗县院依法向平罗县水务局、县自然资源局、县农业农村局等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家行政机关发出检察建议。收到检察建议后，平罗县水务局牵头落实整改，聘请第三方对平罗县辖区地下取水井坐标、用途等再次开展排查、摸清底数，并对用水合理性进行分析论证。因平罗县耕地面积大、农业灌溉用水需求与水资源配置矛盾突出，整改难度较大。为推进规范取水进度，平罗县人民检察院积极做好党委政府的法治参谋，先后参与专项整治推进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次、现场督导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次，与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个乡镇负责人分别见面沟通，提出整改建议，凝聚各部门整改合力，共关停、封填长期废弃地下井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1010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眼，办理取水许可证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751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眼，安装计量设施、建立台账统一管理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364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眼（应急抗旱井）。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月，平罗县院对平罗县地下取水井整治效果开展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回头看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，平罗县辖区农业灌溉地下取水井已全部整改。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【典型意义】</w:t>
      </w:r>
    </w:p>
    <w:p>
      <w:pPr>
        <w:pStyle w:val="4"/>
        <w:widowControl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Calibri" w:eastAsia="仿宋_GB2312" w:cs="仿宋_GB2312"/>
          <w:color w:val="000000"/>
          <w:sz w:val="32"/>
          <w:szCs w:val="32"/>
          <w:lang w:eastAsia="zh-CN"/>
        </w:rPr>
        <w:t>推动黄河流域生态保护和高质量发展，有利于发挥黄河流域在我国的重要生态屏障作用，有利于维护社会稳定、促进民族团结，是关系中华民族伟大复兴的千秋大计。平罗县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平罗是传统农业大县，用水量大。黄河平罗段地下取水井涉及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个监管部门，各部门职责交叉，协同治理难度大。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该院履行公益监督职责，促使平罗县辖区违规取用地下水问题得到有效解决，推动平罗县地下取水科学化、规范化，为黄河流域水资源保护贡献检察力量。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snapToGrid w:val="0"/>
        <w:rPr>
          <w:rFonts w:hint="default" w:eastAsiaTheme="minorEastAsia"/>
          <w:lang w:val="en-US" w:eastAsia="zh-CN"/>
        </w:rPr>
      </w:pPr>
      <w:r>
        <w:rPr>
          <w:rStyle w:val="10"/>
        </w:rPr>
        <w:footnoteRef/>
      </w:r>
      <w:r>
        <w:t xml:space="preserve"> </w:t>
      </w:r>
      <w:r>
        <w:rPr>
          <w:rFonts w:hint="eastAsia"/>
          <w:lang w:eastAsia="zh-CN"/>
        </w:rPr>
        <w:t>平罗县人民检察院</w:t>
      </w:r>
      <w:r>
        <w:rPr>
          <w:rFonts w:hint="eastAsia"/>
          <w:lang w:val="en-US" w:eastAsia="zh-CN"/>
        </w:rPr>
        <w:t xml:space="preserve"> 杨学松</w:t>
      </w:r>
      <w:bookmarkStart w:id="2" w:name="_GoBack"/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WZhNzI3ZDhhYWM5MWI2MDA1NmI4YTlhYWVlZWEifQ=="/>
  </w:docVars>
  <w:rsids>
    <w:rsidRoot w:val="00000000"/>
    <w:rsid w:val="0D134413"/>
    <w:rsid w:val="30AD1520"/>
    <w:rsid w:val="317906E8"/>
    <w:rsid w:val="5F9E2F99"/>
    <w:rsid w:val="72F53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24"/>
      <w:lang w:val="en-US" w:eastAsia="zh-CN" w:bidi="ar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styleId="10">
    <w:name w:val="footnote reference"/>
    <w:basedOn w:val="9"/>
    <w:uiPriority w:val="0"/>
    <w:rPr>
      <w:vertAlign w:val="superscript"/>
    </w:rPr>
  </w:style>
  <w:style w:type="character" w:customStyle="1" w:styleId="11">
    <w:name w:val="正文文本缩进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2">
    <w:name w:val="正文首行缩进 2 Char"/>
    <w:basedOn w:val="11"/>
    <w:link w:val="7"/>
    <w:qFormat/>
    <w:uiPriority w:val="0"/>
    <w:rPr>
      <w:kern w:val="2"/>
      <w:sz w:val="21"/>
      <w:szCs w:val="24"/>
    </w:rPr>
  </w:style>
  <w:style w:type="character" w:customStyle="1" w:styleId="13">
    <w:name w:val="页脚 Char"/>
    <w:basedOn w:val="9"/>
    <w:link w:val="3"/>
    <w:qFormat/>
    <w:uiPriority w:val="0"/>
    <w:rPr>
      <w:kern w:val="2"/>
      <w:sz w:val="18"/>
      <w:szCs w:val="24"/>
    </w:rPr>
  </w:style>
  <w:style w:type="character" w:customStyle="1" w:styleId="14">
    <w:name w:val="页眉 Char"/>
    <w:basedOn w:val="9"/>
    <w:link w:val="4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1205</Characters>
  <Lines>0</Lines>
  <Paragraphs>0</Paragraphs>
  <TotalTime>2</TotalTime>
  <ScaleCrop>false</ScaleCrop>
  <LinksUpToDate>false</LinksUpToDate>
  <CharactersWithSpaces>1228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理性且偏执</cp:lastModifiedBy>
  <dcterms:modified xsi:type="dcterms:W3CDTF">2022-08-01T01:55:12Z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7D9FC364DF194FCAAE83883DD52ED05F</vt:lpwstr>
  </property>
</Properties>
</file>